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Style w:val="cat-Dategrp-12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Якубиной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1 ст. 15.33.2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Кортаевой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Радимхан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Салмановны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ind w:firstLine="567"/>
        <w:jc w:val="center"/>
        <w:rPr>
          <w:sz w:val="22"/>
          <w:szCs w:val="22"/>
        </w:rPr>
      </w:pP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УСТАНОВИЛ:</w:t>
      </w: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2 ст. 11 Федерального Закона от </w:t>
      </w:r>
      <w:r>
        <w:rPr>
          <w:rStyle w:val="cat-Dategrp-1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«Об индивидуальном (персонифицированном) учете в системе обязательного пенсионного страхования» - страхователь ежегодно не позднее </w:t>
      </w:r>
      <w:r>
        <w:rPr>
          <w:rStyle w:val="cat-Dategrp-1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страховые взносы).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Социальным фондом РФ проведен аудит базы данных персонифицированного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2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сверки выявлены индивидуальные лицевые счета застрахованных лиц, в которых учтены суммы страховых взносов на обязательное пенсионное страхование из расчетов по страховым взносам (форма РСВ-1), представленных в ФНС России, но отсутствуют сведения о страховом стаже за отчетный период </w:t>
      </w:r>
      <w:r>
        <w:rPr>
          <w:rStyle w:val="cat-Dategrp-15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СЗВ-СТАЖ), а также несоответствие представленных форм СЗВ-М.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17 Федерального Закона от </w:t>
      </w:r>
      <w:r>
        <w:rPr>
          <w:rStyle w:val="cat-Dategrp-13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«Об индивидуальном (персонифицированном) учете в системе обязательного пенсионного страхования» направлено Уведомление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устранении ошибок и (или) несоответствий между представленными страхователями сведениями и сведениями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налоговый орган и сведениями, имеющимися у Социального фонда Российской Федерации, датой вручения этого уведомления считается шестой день, считая с даты отправления заказного письма.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об устранении расхождений по форме СЗВ-</w:t>
      </w:r>
      <w:r>
        <w:rPr>
          <w:rFonts w:ascii="Times New Roman" w:eastAsia="Times New Roman" w:hAnsi="Times New Roman" w:cs="Times New Roman"/>
          <w:sz w:val="28"/>
          <w:szCs w:val="28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</w:t>
      </w:r>
      <w:r>
        <w:rPr>
          <w:rStyle w:val="cat-Dategrp-15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получено </w:t>
      </w:r>
      <w:r>
        <w:rPr>
          <w:rStyle w:val="cat-Dategrp-16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уточненные сведения должны быть представлены в течении пяти рабочих дней по </w:t>
      </w:r>
      <w:r>
        <w:rPr>
          <w:rStyle w:val="cat-Dategrp-17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Однако, страхователем </w:t>
      </w:r>
      <w:r>
        <w:rPr>
          <w:rStyle w:val="cat-OrganizationNamegrp-32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течении пяти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имеющиеся ошибки и соответствия не устранены.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Уточненные сведения о застрахованных лицах по форме СЗВ-КОРР страхователем представлены с нарушением установленного срока – </w:t>
      </w:r>
      <w:r>
        <w:rPr>
          <w:rStyle w:val="cat-Dategrp-1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 совершено </w:t>
      </w:r>
      <w:r>
        <w:rPr>
          <w:rStyle w:val="cat-Dategrp-1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33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адресу: ХМАО-Югра, </w:t>
      </w:r>
      <w:r>
        <w:rPr>
          <w:rStyle w:val="cat-Addressgrp-4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Кортаева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Кортаевой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Якубина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в судебном заседании с правонарушением согласилась, просила прекратить дело либо по сроку давности, либо по малозначительности. В случае назначения штрафа </w:t>
      </w:r>
      <w:r>
        <w:rPr>
          <w:rFonts w:ascii="Times New Roman" w:eastAsia="Times New Roman" w:hAnsi="Times New Roman" w:cs="Times New Roman"/>
          <w:sz w:val="28"/>
          <w:szCs w:val="28"/>
        </w:rPr>
        <w:t>Якубина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пояснила, что обязуются штраф оплатить.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Кортаевой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12271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почтовых отправлений; уведомление о составлении протокола об административном правонарушении; копия акта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страхования; расчет финансовой санкции; уведомление об устранении ошибок и (или) несоответствий между представленными страхователями сведениями и сведениями, имеющимися у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РФ; сведения о застрахованных лицах; извещения о доставке и протоколы проверки; выписка из ЕГРЮЛ.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Кортаевой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17 Федерального Закона от </w:t>
      </w:r>
      <w:r>
        <w:rPr>
          <w:rStyle w:val="cat-Dategrp-13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 «Об индивидуальном (персонифицированном) учете в системе обязательного пенсионного страхования» -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Вопреки доводам 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Якубиной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О.В., суд не усматривает оснований для прекращения дела в связи с истечением срока давности, поскольку срок давности по данной категории правонарушений составляет один год.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Кортаевой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ст.15.33.2 Кодекса РФ об административных правонарушениях – </w:t>
      </w:r>
      <w:r>
        <w:rPr>
          <w:rFonts w:ascii="Roboto" w:eastAsia="Roboto" w:hAnsi="Roboto" w:cs="Roboto"/>
          <w:sz w:val="28"/>
          <w:szCs w:val="28"/>
        </w:rPr>
        <w:t xml:space="preserve">непредставление в установленный </w:t>
      </w:r>
      <w:hyperlink r:id="rId6" w:anchor="/document/10106192/entry/8" w:history="1">
        <w:r>
          <w:rPr>
            <w:rFonts w:ascii="Roboto" w:eastAsia="Roboto" w:hAnsi="Roboto" w:cs="Roboto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Roboto" w:eastAsia="Roboto" w:hAnsi="Roboto" w:cs="Roboto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Roboto" w:eastAsia="Roboto" w:hAnsi="Roboto" w:cs="Roboto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Roboto" w:eastAsia="Roboto" w:hAnsi="Roboto" w:cs="Roboto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Кортаеву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Радимхан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Салмановну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15.33.2 КоАП РФ и назначить наказание в виде административного штрафа в размере </w:t>
      </w:r>
      <w:r>
        <w:rPr>
          <w:rStyle w:val="cat-Sumgrp-29rplc-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Банк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</w:t>
      </w:r>
      <w:r>
        <w:rPr>
          <w:rStyle w:val="cat-Addressgrp-5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39"/>
          <w:rFonts w:ascii="Times New Roman" w:eastAsia="Times New Roman" w:hAnsi="Times New Roman" w:cs="Times New Roman"/>
          <w:sz w:val="28"/>
          <w:szCs w:val="28"/>
        </w:rPr>
        <w:t>адрес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7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8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6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9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4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5rplc-4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6rplc-4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7rplc-4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), р/счет - 03100643000000018700, КБК 7971160123006000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797</w:t>
      </w:r>
      <w:r>
        <w:rPr>
          <w:rFonts w:ascii="Times New Roman" w:eastAsia="Times New Roman" w:hAnsi="Times New Roman" w:cs="Times New Roman"/>
          <w:sz w:val="28"/>
          <w:szCs w:val="28"/>
        </w:rPr>
        <w:t>02700000000044043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1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0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 верна: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21rplc-53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Секретарь судебного заседания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9rplc-6">
    <w:name w:val="cat-ExternalSystemDefined grp-39 rplc-6"/>
    <w:basedOn w:val="DefaultParagraphFont"/>
  </w:style>
  <w:style w:type="character" w:customStyle="1" w:styleId="cat-PassportDatagrp-30rplc-7">
    <w:name w:val="cat-PassportData grp-30 rplc-7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OrganizationNamegrp-32rplc-10">
    <w:name w:val="cat-OrganizationName grp-32 rplc-10"/>
    <w:basedOn w:val="DefaultParagraphFont"/>
  </w:style>
  <w:style w:type="character" w:customStyle="1" w:styleId="cat-PassportDatagrp-31rplc-11">
    <w:name w:val="cat-PassportData grp-31 rplc-11"/>
    <w:basedOn w:val="DefaultParagraphFont"/>
  </w:style>
  <w:style w:type="character" w:customStyle="1" w:styleId="cat-ExternalSystemDefinedgrp-40rplc-12">
    <w:name w:val="cat-ExternalSystemDefined grp-40 rplc-12"/>
    <w:basedOn w:val="DefaultParagraphFont"/>
  </w:style>
  <w:style w:type="character" w:customStyle="1" w:styleId="cat-ExternalSystemDefinedgrp-38rplc-13">
    <w:name w:val="cat-ExternalSystemDefined grp-38 rplc-13"/>
    <w:basedOn w:val="DefaultParagraphFont"/>
  </w:style>
  <w:style w:type="character" w:customStyle="1" w:styleId="cat-Dategrp-13rplc-14">
    <w:name w:val="cat-Date grp-13 rplc-14"/>
    <w:basedOn w:val="DefaultParagraphFont"/>
  </w:style>
  <w:style w:type="character" w:customStyle="1" w:styleId="cat-Dategrp-14rplc-15">
    <w:name w:val="cat-Date grp-14 rplc-15"/>
    <w:basedOn w:val="DefaultParagraphFont"/>
  </w:style>
  <w:style w:type="character" w:customStyle="1" w:styleId="cat-OrganizationNamegrp-32rplc-16">
    <w:name w:val="cat-OrganizationName grp-32 rplc-16"/>
    <w:basedOn w:val="DefaultParagraphFont"/>
  </w:style>
  <w:style w:type="character" w:customStyle="1" w:styleId="cat-Dategrp-15rplc-17">
    <w:name w:val="cat-Date grp-15 rplc-17"/>
    <w:basedOn w:val="DefaultParagraphFont"/>
  </w:style>
  <w:style w:type="character" w:customStyle="1" w:styleId="cat-Dategrp-13rplc-18">
    <w:name w:val="cat-Date grp-13 rplc-18"/>
    <w:basedOn w:val="DefaultParagraphFont"/>
  </w:style>
  <w:style w:type="character" w:customStyle="1" w:styleId="cat-Dategrp-15rplc-19">
    <w:name w:val="cat-Date grp-15 rplc-19"/>
    <w:basedOn w:val="DefaultParagraphFont"/>
  </w:style>
  <w:style w:type="character" w:customStyle="1" w:styleId="cat-Dategrp-16rplc-20">
    <w:name w:val="cat-Date grp-16 rplc-20"/>
    <w:basedOn w:val="DefaultParagraphFont"/>
  </w:style>
  <w:style w:type="character" w:customStyle="1" w:styleId="cat-Dategrp-17rplc-21">
    <w:name w:val="cat-Date grp-17 rplc-21"/>
    <w:basedOn w:val="DefaultParagraphFont"/>
  </w:style>
  <w:style w:type="character" w:customStyle="1" w:styleId="cat-OrganizationNamegrp-32rplc-22">
    <w:name w:val="cat-OrganizationName grp-32 rplc-22"/>
    <w:basedOn w:val="DefaultParagraphFont"/>
  </w:style>
  <w:style w:type="character" w:customStyle="1" w:styleId="cat-Dategrp-18rplc-23">
    <w:name w:val="cat-Date grp-18 rplc-23"/>
    <w:basedOn w:val="DefaultParagraphFont"/>
  </w:style>
  <w:style w:type="character" w:customStyle="1" w:styleId="cat-Dategrp-19rplc-24">
    <w:name w:val="cat-Date grp-19 rplc-24"/>
    <w:basedOn w:val="DefaultParagraphFont"/>
  </w:style>
  <w:style w:type="character" w:customStyle="1" w:styleId="cat-Timegrp-33rplc-25">
    <w:name w:val="cat-Time grp-33 rplc-25"/>
    <w:basedOn w:val="DefaultParagraphFont"/>
  </w:style>
  <w:style w:type="character" w:customStyle="1" w:styleId="cat-Addressgrp-4rplc-26">
    <w:name w:val="cat-Address grp-4 rplc-26"/>
    <w:basedOn w:val="DefaultParagraphFont"/>
  </w:style>
  <w:style w:type="character" w:customStyle="1" w:styleId="cat-Dategrp-20rplc-32">
    <w:name w:val="cat-Date grp-20 rplc-32"/>
    <w:basedOn w:val="DefaultParagraphFont"/>
  </w:style>
  <w:style w:type="character" w:customStyle="1" w:styleId="cat-Dategrp-13rplc-34">
    <w:name w:val="cat-Date grp-13 rplc-34"/>
    <w:basedOn w:val="DefaultParagraphFont"/>
  </w:style>
  <w:style w:type="character" w:customStyle="1" w:styleId="cat-Sumgrp-29rplc-37">
    <w:name w:val="cat-Sum grp-29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8rplc-41">
    <w:name w:val="cat-Address grp-8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9rplc-43">
    <w:name w:val="cat-Address grp-9 rplc-43"/>
    <w:basedOn w:val="DefaultParagraphFont"/>
  </w:style>
  <w:style w:type="character" w:customStyle="1" w:styleId="cat-PhoneNumbergrp-34rplc-44">
    <w:name w:val="cat-PhoneNumber grp-34 rplc-44"/>
    <w:basedOn w:val="DefaultParagraphFont"/>
  </w:style>
  <w:style w:type="character" w:customStyle="1" w:styleId="cat-PhoneNumbergrp-35rplc-45">
    <w:name w:val="cat-PhoneNumber grp-35 rplc-45"/>
    <w:basedOn w:val="DefaultParagraphFont"/>
  </w:style>
  <w:style w:type="character" w:customStyle="1" w:styleId="cat-PhoneNumbergrp-36rplc-46">
    <w:name w:val="cat-PhoneNumber grp-36 rplc-46"/>
    <w:basedOn w:val="DefaultParagraphFont"/>
  </w:style>
  <w:style w:type="character" w:customStyle="1" w:styleId="cat-PhoneNumbergrp-37rplc-47">
    <w:name w:val="cat-PhoneNumber grp-37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Addressgrp-11rplc-49">
    <w:name w:val="cat-Address grp-11 rplc-49"/>
    <w:basedOn w:val="DefaultParagraphFont"/>
  </w:style>
  <w:style w:type="character" w:customStyle="1" w:styleId="cat-Addressgrp-10rplc-50">
    <w:name w:val="cat-Address grp-10 rplc-50"/>
    <w:basedOn w:val="DefaultParagraphFont"/>
  </w:style>
  <w:style w:type="character" w:customStyle="1" w:styleId="cat-Dategrp-21rplc-53">
    <w:name w:val="cat-Date grp-21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71074.5000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